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7C" w:rsidRPr="00784F9B" w:rsidRDefault="00FD6A7C" w:rsidP="00FD6A7C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D6A7C" w:rsidRPr="00784F9B" w:rsidRDefault="00FD6A7C" w:rsidP="00FD6A7C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D6A7C" w:rsidRPr="00784F9B" w:rsidRDefault="00FD6A7C" w:rsidP="00FD6A7C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FD6A7C" w:rsidRDefault="00FD6A7C" w:rsidP="00FD6A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FD6A7C" w:rsidRPr="00784F9B" w:rsidRDefault="00FD6A7C" w:rsidP="00FD6A7C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943"/>
        <w:gridCol w:w="3119"/>
        <w:gridCol w:w="3509"/>
      </w:tblGrid>
      <w:tr w:rsidR="00FD6A7C" w:rsidRPr="00C81D64" w:rsidTr="008851E1">
        <w:tc>
          <w:tcPr>
            <w:tcW w:w="2943" w:type="dxa"/>
          </w:tcPr>
          <w:p w:rsidR="00FD6A7C" w:rsidRPr="008851E1" w:rsidRDefault="00FD6A7C" w:rsidP="00103647">
            <w:pPr>
              <w:rPr>
                <w:rFonts w:ascii="Times New Roman" w:eastAsia="Times New Roman" w:hAnsi="Times New Roman" w:cs="Times New Roman"/>
              </w:rPr>
            </w:pPr>
            <w:r w:rsidRPr="008851E1">
              <w:rPr>
                <w:rFonts w:ascii="Times New Roman" w:eastAsia="Times New Roman" w:hAnsi="Times New Roman" w:cs="Times New Roman"/>
              </w:rPr>
              <w:t>РАССМОТРЕНО</w:t>
            </w:r>
            <w:r w:rsidRPr="008851E1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8851E1">
              <w:rPr>
                <w:rFonts w:ascii="Times New Roman" w:eastAsia="Times New Roman" w:hAnsi="Times New Roman" w:cs="Times New Roman"/>
              </w:rPr>
              <w:br/>
            </w:r>
            <w:r w:rsidRPr="008851E1">
              <w:rPr>
                <w:rFonts w:ascii="Times New Roman" w:eastAsia="Times New Roman" w:hAnsi="Times New Roman" w:cs="Times New Roman"/>
              </w:rPr>
              <w:br/>
              <w:t>П</w:t>
            </w:r>
            <w:r w:rsidR="008851E1" w:rsidRPr="008851E1">
              <w:rPr>
                <w:rFonts w:ascii="Times New Roman" w:hAnsi="Times New Roman" w:cs="Times New Roman"/>
              </w:rPr>
              <w:t>ротокол №5</w:t>
            </w:r>
            <w:r w:rsidR="008851E1" w:rsidRPr="008851E1">
              <w:rPr>
                <w:rFonts w:ascii="Times New Roman" w:hAnsi="Times New Roman" w:cs="Times New Roman"/>
              </w:rPr>
              <w:br/>
            </w:r>
            <w:r w:rsidR="008851E1" w:rsidRPr="008851E1">
              <w:rPr>
                <w:rFonts w:ascii="Times New Roman" w:hAnsi="Times New Roman" w:cs="Times New Roman"/>
              </w:rPr>
              <w:br/>
              <w:t>от "08" ноября</w:t>
            </w:r>
            <w:r w:rsidRPr="008851E1">
              <w:rPr>
                <w:rFonts w:ascii="Times New Roman" w:hAnsi="Times New Roman" w:cs="Times New Roman"/>
              </w:rPr>
              <w:t> 2023</w:t>
            </w:r>
            <w:r w:rsidRPr="008851E1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119" w:type="dxa"/>
          </w:tcPr>
          <w:p w:rsidR="00FD6A7C" w:rsidRPr="008851E1" w:rsidRDefault="00FD6A7C" w:rsidP="00103647">
            <w:pPr>
              <w:rPr>
                <w:rFonts w:ascii="Times New Roman" w:eastAsia="Times New Roman" w:hAnsi="Times New Roman" w:cs="Times New Roman"/>
              </w:rPr>
            </w:pPr>
            <w:r w:rsidRPr="008851E1">
              <w:rPr>
                <w:rFonts w:ascii="Times New Roman" w:eastAsia="Times New Roman" w:hAnsi="Times New Roman" w:cs="Times New Roman"/>
              </w:rPr>
              <w:t>СОГЛАСОВАНО</w:t>
            </w:r>
            <w:r w:rsidRPr="008851E1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8851E1">
              <w:rPr>
                <w:rFonts w:ascii="Times New Roman" w:eastAsia="Times New Roman" w:hAnsi="Times New Roman" w:cs="Times New Roman"/>
              </w:rPr>
              <w:br/>
            </w:r>
            <w:r w:rsidRPr="008851E1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8851E1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8851E1">
              <w:rPr>
                <w:rFonts w:ascii="Times New Roman" w:eastAsia="Times New Roman" w:hAnsi="Times New Roman" w:cs="Times New Roman"/>
              </w:rPr>
              <w:br/>
              <w:t>Пр</w:t>
            </w:r>
            <w:r w:rsidR="008851E1" w:rsidRPr="008851E1">
              <w:rPr>
                <w:rFonts w:ascii="Times New Roman" w:hAnsi="Times New Roman" w:cs="Times New Roman"/>
              </w:rPr>
              <w:t>отокол № 5</w:t>
            </w:r>
            <w:r w:rsidR="008851E1" w:rsidRPr="008851E1">
              <w:rPr>
                <w:rFonts w:ascii="Times New Roman" w:hAnsi="Times New Roman" w:cs="Times New Roman"/>
              </w:rPr>
              <w:br/>
              <w:t>от "08" ноября</w:t>
            </w:r>
            <w:r w:rsidRPr="008851E1">
              <w:rPr>
                <w:rFonts w:ascii="Times New Roman" w:hAnsi="Times New Roman" w:cs="Times New Roman"/>
              </w:rPr>
              <w:t>  2023</w:t>
            </w:r>
            <w:r w:rsidRPr="008851E1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509" w:type="dxa"/>
          </w:tcPr>
          <w:p w:rsidR="00FD6A7C" w:rsidRPr="008851E1" w:rsidRDefault="00FD6A7C" w:rsidP="00103647">
            <w:pPr>
              <w:rPr>
                <w:rFonts w:ascii="Times New Roman" w:hAnsi="Times New Roman" w:cs="Times New Roman"/>
              </w:rPr>
            </w:pPr>
            <w:r w:rsidRPr="008851E1">
              <w:rPr>
                <w:rFonts w:ascii="Times New Roman" w:hAnsi="Times New Roman" w:cs="Times New Roman"/>
              </w:rPr>
              <w:t>УТВЕРЖДЕНО</w:t>
            </w:r>
          </w:p>
          <w:p w:rsidR="00FD6A7C" w:rsidRPr="008851E1" w:rsidRDefault="00FD6A7C" w:rsidP="00103647">
            <w:pPr>
              <w:rPr>
                <w:rFonts w:ascii="Times New Roman" w:eastAsia="Times New Roman" w:hAnsi="Times New Roman" w:cs="Times New Roman"/>
              </w:rPr>
            </w:pPr>
            <w:r w:rsidRPr="008851E1">
              <w:rPr>
                <w:rFonts w:ascii="Times New Roman" w:hAnsi="Times New Roman" w:cs="Times New Roman"/>
              </w:rPr>
              <w:t xml:space="preserve"> Директор</w:t>
            </w:r>
            <w:r w:rsidRPr="008851E1">
              <w:rPr>
                <w:rFonts w:ascii="Times New Roman" w:eastAsia="Times New Roman" w:hAnsi="Times New Roman" w:cs="Times New Roman"/>
              </w:rPr>
              <w:br/>
            </w:r>
            <w:r w:rsidRPr="008851E1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8851E1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8851E1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8851E1">
              <w:rPr>
                <w:rFonts w:ascii="Times New Roman" w:hAnsi="Times New Roman" w:cs="Times New Roman"/>
              </w:rPr>
              <w:t xml:space="preserve"> </w:t>
            </w:r>
            <w:r w:rsidRPr="008851E1">
              <w:rPr>
                <w:rFonts w:ascii="Times New Roman" w:eastAsia="Times New Roman" w:hAnsi="Times New Roman" w:cs="Times New Roman"/>
              </w:rPr>
              <w:br/>
            </w:r>
            <w:r w:rsidR="008851E1" w:rsidRPr="008851E1">
              <w:rPr>
                <w:rFonts w:ascii="Times New Roman" w:hAnsi="Times New Roman" w:cs="Times New Roman"/>
              </w:rPr>
              <w:t>Приказ № 82/1</w:t>
            </w:r>
            <w:r w:rsidR="008851E1" w:rsidRPr="008851E1">
              <w:rPr>
                <w:rFonts w:ascii="Times New Roman" w:hAnsi="Times New Roman" w:cs="Times New Roman"/>
              </w:rPr>
              <w:br/>
              <w:t>от "08" ноября</w:t>
            </w:r>
            <w:r w:rsidRPr="008851E1">
              <w:rPr>
                <w:rFonts w:ascii="Times New Roman" w:hAnsi="Times New Roman" w:cs="Times New Roman"/>
              </w:rPr>
              <w:t> 2023</w:t>
            </w:r>
            <w:r w:rsidRPr="008851E1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FD6A7C" w:rsidRDefault="00FD6A7C" w:rsidP="00FD6A7C"/>
    <w:p w:rsidR="00FD6A7C" w:rsidRDefault="00FD6A7C" w:rsidP="00FD6A7C"/>
    <w:p w:rsidR="00FD6A7C" w:rsidRDefault="00FD6A7C" w:rsidP="00FD6A7C"/>
    <w:p w:rsidR="00FD6A7C" w:rsidRPr="00784F9B" w:rsidRDefault="00FD6A7C" w:rsidP="00FD6A7C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D6A7C" w:rsidRPr="00784F9B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8518BA" w:rsidRDefault="00FD6A7C" w:rsidP="00FD6A7C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Коррекционного курса «Развитие познавательной сферы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FD6A7C" w:rsidRPr="00C4394F" w:rsidRDefault="00FD6A7C" w:rsidP="00FD6A7C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FD6A7C" w:rsidRPr="00C4394F" w:rsidRDefault="00FD6A7C" w:rsidP="00FD6A7C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FD6A7C" w:rsidRPr="00C4394F" w:rsidRDefault="00FD6A7C" w:rsidP="00FD6A7C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FD6A7C" w:rsidRPr="00C4394F" w:rsidRDefault="00FD6A7C" w:rsidP="00FD6A7C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FD6A7C" w:rsidRPr="00C4394F" w:rsidRDefault="00FD6A7C" w:rsidP="00FD6A7C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FD6A7C" w:rsidRPr="008518BA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8518BA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8518BA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8518BA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784F9B" w:rsidRDefault="00FD6A7C" w:rsidP="00FD6A7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FD6A7C" w:rsidRPr="00784F9B" w:rsidRDefault="00FD6A7C" w:rsidP="00FD6A7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FD6A7C" w:rsidRPr="00784F9B" w:rsidRDefault="00FD6A7C" w:rsidP="00FD6A7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6A7C" w:rsidRPr="00784F9B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784F9B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784F9B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Pr="00784F9B" w:rsidRDefault="00FD6A7C" w:rsidP="00FD6A7C">
      <w:pPr>
        <w:spacing w:after="0"/>
        <w:ind w:left="120"/>
        <w:jc w:val="center"/>
        <w:rPr>
          <w:sz w:val="24"/>
          <w:szCs w:val="24"/>
        </w:rPr>
      </w:pPr>
    </w:p>
    <w:p w:rsidR="00FD6A7C" w:rsidRDefault="00FD6A7C" w:rsidP="00FD6A7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507F6A" w:rsidRPr="008B1A38" w:rsidRDefault="00507F6A" w:rsidP="00FD6A7C">
      <w:pPr>
        <w:spacing w:after="0"/>
        <w:jc w:val="center"/>
        <w:rPr>
          <w:sz w:val="24"/>
          <w:szCs w:val="24"/>
        </w:rPr>
      </w:pPr>
    </w:p>
    <w:p w:rsidR="00FD6A7C" w:rsidRPr="00795A1C" w:rsidRDefault="00FD6A7C" w:rsidP="00FD6A7C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ПОЯСНИТЕЛЬНАЯ ЗАПИСКА</w:t>
      </w:r>
    </w:p>
    <w:p w:rsidR="00FD6A7C" w:rsidRDefault="00FD6A7C" w:rsidP="00FD6A7C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коррекционного курса «Развитие познавательной сферы»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4" w:history="1">
        <w:r w:rsidRPr="00746BB2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FD6A7C" w:rsidRDefault="00FD6A7C" w:rsidP="00FD6A7C">
      <w:pPr>
        <w:jc w:val="both"/>
        <w:rPr>
          <w:rFonts w:ascii="Times New Roman" w:hAnsi="Times New Roman" w:cs="Times New Roman"/>
          <w:b/>
        </w:rPr>
      </w:pPr>
    </w:p>
    <w:p w:rsidR="00FD6A7C" w:rsidRDefault="00FD6A7C" w:rsidP="00FD6A7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</w:t>
      </w:r>
      <w:r>
        <w:rPr>
          <w:rFonts w:ascii="Times New Roman" w:hAnsi="Times New Roman" w:cs="Times New Roman"/>
          <w:b/>
        </w:rPr>
        <w:t>РАКТЕРИСТИКА КОРРЕКЦИОННОГО КУРСА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Программа содержит разделы, включающие развитие всей структуры познавательной деятельности обучающихся: развитие видов мышления (наглядно-действенного, наглядно-образного и словесно-логического); формирование речевого поведения; развитие мелкой моторики пальцев рук; зрительно-пространственной координации, формирование произвольных психических процессов - осознанной регуляции своего поведения, внимания, памяти, выработки навыков самоконтроля.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 xml:space="preserve">Обучение реализуется через дидактические игры, упражнения и задания. Темы и содержание занятий, тематический речевой материал подбирается согласно концентрическому принципу обучения. Начиная работать над темой, где предлагается новый речевой материал, необходимо использовать те задания, правила которые </w:t>
      </w:r>
      <w:proofErr w:type="gramStart"/>
      <w:r>
        <w:t>обучающемуся</w:t>
      </w:r>
      <w:proofErr w:type="gramEnd"/>
      <w:r>
        <w:t xml:space="preserve"> уже известны. Знакомый речевой материал предпочтительнее использовать в новых дидактических заданиях. Предъявлять одновременно новое задание и незнакомый или малознакомый речевой материал нецелесообразно, поскольку слабослышащим и позднооглохшим обучающимся с нарушенным интеллектом трудно воспринимать сразу две новые дидактические задачи.</w:t>
      </w:r>
    </w:p>
    <w:p w:rsidR="003C77C2" w:rsidRDefault="003C77C2" w:rsidP="00FD6A7C">
      <w:pPr>
        <w:jc w:val="both"/>
        <w:rPr>
          <w:rFonts w:ascii="Times New Roman" w:hAnsi="Times New Roman" w:cs="Times New Roman"/>
          <w:b/>
        </w:rPr>
      </w:pPr>
    </w:p>
    <w:p w:rsidR="00FD6A7C" w:rsidRDefault="00FD6A7C" w:rsidP="00FD6A7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</w:t>
      </w:r>
      <w:r>
        <w:rPr>
          <w:rFonts w:ascii="Times New Roman" w:hAnsi="Times New Roman" w:cs="Times New Roman"/>
          <w:b/>
        </w:rPr>
        <w:t xml:space="preserve">ЕЛИ ИЗУЧЕНИЯ </w:t>
      </w:r>
      <w:r w:rsidR="003C77C2">
        <w:rPr>
          <w:rFonts w:ascii="Times New Roman" w:hAnsi="Times New Roman" w:cs="Times New Roman"/>
          <w:b/>
        </w:rPr>
        <w:t>КОРРЕКЦИОННЫЙ КУРС</w:t>
      </w:r>
    </w:p>
    <w:p w:rsidR="00FD6A7C" w:rsidRPr="003C77C2" w:rsidRDefault="009F534B" w:rsidP="00FD6A7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Цель</w:t>
      </w:r>
      <w:r w:rsidR="00FD6A7C" w:rsidRPr="003C77C2">
        <w:rPr>
          <w:rFonts w:ascii="Times New Roman" w:hAnsi="Times New Roman" w:cs="Times New Roman"/>
          <w:b/>
        </w:rPr>
        <w:t>:</w:t>
      </w:r>
      <w:r w:rsidR="003C77C2" w:rsidRPr="003C77C2">
        <w:rPr>
          <w:rFonts w:ascii="Times New Roman" w:hAnsi="Times New Roman" w:cs="Times New Roman"/>
        </w:rPr>
        <w:t xml:space="preserve"> развитие познавательной сферы, личностное развития </w:t>
      </w:r>
      <w:proofErr w:type="gramStart"/>
      <w:r w:rsidR="003C77C2" w:rsidRPr="003C77C2">
        <w:rPr>
          <w:rFonts w:ascii="Times New Roman" w:hAnsi="Times New Roman" w:cs="Times New Roman"/>
        </w:rPr>
        <w:t>обучающихся</w:t>
      </w:r>
      <w:proofErr w:type="gramEnd"/>
      <w:r w:rsidR="003C77C2" w:rsidRPr="003C77C2">
        <w:rPr>
          <w:rFonts w:ascii="Times New Roman" w:hAnsi="Times New Roman" w:cs="Times New Roman"/>
        </w:rPr>
        <w:t>.</w:t>
      </w:r>
    </w:p>
    <w:p w:rsidR="003C77C2" w:rsidRPr="00795A1C" w:rsidRDefault="003C77C2" w:rsidP="003C77C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 УЧЕБНОГО ПРЕДМЕТА </w:t>
      </w:r>
      <w:r w:rsidRPr="00795A1C">
        <w:rPr>
          <w:rFonts w:ascii="Times New Roman" w:hAnsi="Times New Roman" w:cs="Times New Roman"/>
          <w:b/>
        </w:rPr>
        <w:t xml:space="preserve">В УЧЕБНОМ ПЛАНЕ </w:t>
      </w:r>
    </w:p>
    <w:p w:rsidR="003C77C2" w:rsidRPr="00746BB2" w:rsidRDefault="003C77C2" w:rsidP="003C77C2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коррекционного курса</w:t>
      </w:r>
      <w:r w:rsidRPr="00746BB2">
        <w:rPr>
          <w:rFonts w:ascii="Times New Roman" w:hAnsi="Times New Roman" w:cs="Times New Roman"/>
          <w:sz w:val="24"/>
          <w:szCs w:val="24"/>
        </w:rPr>
        <w:t>, –  в 1 классе – 33ч (1 час в неделю)</w:t>
      </w:r>
    </w:p>
    <w:p w:rsidR="003C77C2" w:rsidRDefault="003C77C2" w:rsidP="003C77C2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 xml:space="preserve">СОДЕРЖАНИЕ </w:t>
      </w:r>
      <w:r>
        <w:rPr>
          <w:rFonts w:ascii="Times New Roman" w:hAnsi="Times New Roman" w:cs="Times New Roman"/>
          <w:b/>
        </w:rPr>
        <w:t>КОРРЕКЦИОННОГО КУРСА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Коррекция и развитие памяти: развитие памяти; постепенное увеличение объема памяти; развитие логической памяти; развитие механической памяти; развитие смысловой памяти; развитие словесно-логической памяти; развитие скорости запоминания; развитие полноты запоминания; развитие сознательного запоминания; развитие прочности и точности запоминания.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Коррекция внимания: развитие целенаправленного и устойчивого внимания; расширение объема внимания; развитие наблюдательности.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Коррекция ощущений, восприятий, представлений.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Коррекция мышления: классификация предметов (их изображения) на группы на основании родового признака; называние группы предметов (однородных) обобщенными словами; конкретизация понятий.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lastRenderedPageBreak/>
        <w:t>Коррекция эмоционально-волевой сферы: формирование нравственных и культурных потребностей; воспитание аккуратности и настойчивости при выполнении упражнений.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Развитие общей и мелкой моторики; обучать пальчиковой гимнастике; развитие артикуляционной моторики.</w:t>
      </w:r>
    </w:p>
    <w:p w:rsidR="003C77C2" w:rsidRDefault="003C77C2" w:rsidP="003C77C2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3C77C2" w:rsidRPr="00351660" w:rsidRDefault="003C77C2" w:rsidP="003C77C2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3C77C2" w:rsidRPr="00351660" w:rsidRDefault="003C77C2" w:rsidP="003C77C2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3C77C2" w:rsidRDefault="003C77C2" w:rsidP="003C77C2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proofErr w:type="gramStart"/>
      <w:r>
        <w:t xml:space="preserve"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</w:t>
      </w:r>
      <w:r>
        <w:lastRenderedPageBreak/>
        <w:t>обучающимися в школе; незнакомыми людьми в транспорте, в том числе слышащими людьми разного возраста;</w:t>
      </w:r>
      <w:proofErr w:type="gramEnd"/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C77C2" w:rsidRDefault="003C77C2" w:rsidP="003C77C2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3C77C2" w:rsidRPr="00E60AD0" w:rsidRDefault="003C77C2" w:rsidP="003C77C2">
      <w:pPr>
        <w:jc w:val="both"/>
        <w:rPr>
          <w:rFonts w:ascii="Times New Roman" w:hAnsi="Times New Roman" w:cs="Times New Roman"/>
          <w:b/>
        </w:rPr>
      </w:pPr>
      <w:r w:rsidRPr="00E60AD0">
        <w:rPr>
          <w:rFonts w:ascii="Times New Roman" w:hAnsi="Times New Roman" w:cs="Times New Roman"/>
          <w:b/>
        </w:rPr>
        <w:t>Предметные результаты: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способность запоминать, припоминать,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стремление запомнить важную для учебной деятельности и жизненной практики информацию;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способность не отвлекаться при проведении наблюдения;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способность осмысленного восприятия окружающей действительности;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наличие способности классифицировать предметы (их изображения) на группы на основании родового признака; умение называть группы предметов (однородных) обобщенными словами; способность конкретизировать понятия;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потребность быть аккуратными;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наличие настойчивости в выполнении деятельности;</w:t>
      </w:r>
    </w:p>
    <w:p w:rsidR="003C77C2" w:rsidRDefault="003C77C2" w:rsidP="003C77C2">
      <w:pPr>
        <w:pStyle w:val="ConsPlusNormal"/>
        <w:spacing w:before="240"/>
        <w:ind w:firstLine="540"/>
        <w:jc w:val="both"/>
      </w:pPr>
      <w:r>
        <w:t>- способность оперировать предметами.</w:t>
      </w:r>
    </w:p>
    <w:p w:rsidR="0072746D" w:rsidRDefault="0072746D" w:rsidP="003C77C2">
      <w:pPr>
        <w:jc w:val="both"/>
        <w:rPr>
          <w:rFonts w:ascii="Times New Roman" w:hAnsi="Times New Roman" w:cs="Times New Roman"/>
          <w:b/>
        </w:rPr>
      </w:pPr>
    </w:p>
    <w:p w:rsidR="003C77C2" w:rsidRDefault="003C77C2" w:rsidP="003C77C2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1955"/>
        <w:gridCol w:w="946"/>
        <w:gridCol w:w="1841"/>
        <w:gridCol w:w="1910"/>
        <w:gridCol w:w="2222"/>
      </w:tblGrid>
      <w:tr w:rsidR="003C77C2" w:rsidRPr="00784F9B" w:rsidTr="00103647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3C77C2" w:rsidRPr="00696FEB" w:rsidRDefault="0072746D" w:rsidP="00103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сферы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72746D" w:rsidRPr="0072746D" w:rsidRDefault="0072746D" w:rsidP="0072746D">
            <w:pPr>
              <w:spacing w:after="0" w:line="480" w:lineRule="auto"/>
              <w:rPr>
                <w:sz w:val="24"/>
                <w:szCs w:val="24"/>
                <w:lang w:val="en-US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</w:tr>
    </w:tbl>
    <w:p w:rsidR="003C77C2" w:rsidRDefault="003C77C2" w:rsidP="003C77C2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C77C2" w:rsidRPr="00784F9B" w:rsidRDefault="003C77C2" w:rsidP="003C77C2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784F9B" w:rsidRDefault="003C77C2" w:rsidP="00103647">
            <w:pPr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3C77C2" w:rsidRPr="00AF5CB3" w:rsidRDefault="003C77C2" w:rsidP="001036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Восприятие формы и величины, цвета; конструирование предметов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217FD3">
              <w:rPr>
                <w:rFonts w:ascii="Times New Roman" w:hAnsi="Times New Roman" w:cs="Times New Roman"/>
              </w:rPr>
              <w:t>сенсорно</w:t>
            </w:r>
            <w:r>
              <w:rPr>
                <w:rFonts w:ascii="Times New Roman" w:hAnsi="Times New Roman" w:cs="Times New Roman"/>
              </w:rPr>
              <w:t>-</w:t>
            </w:r>
            <w:r w:rsidRPr="00217FD3">
              <w:rPr>
                <w:rFonts w:ascii="Times New Roman" w:hAnsi="Times New Roman" w:cs="Times New Roman"/>
              </w:rPr>
              <w:t>перцептивной</w:t>
            </w:r>
            <w:proofErr w:type="spellEnd"/>
            <w:r w:rsidRPr="00217FD3">
              <w:rPr>
                <w:rFonts w:ascii="Times New Roman" w:hAnsi="Times New Roman" w:cs="Times New Roman"/>
              </w:rPr>
              <w:t xml:space="preserve"> сферы.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2746D" w:rsidRDefault="00507F6A" w:rsidP="0072746D">
            <w:pPr>
              <w:spacing w:after="0" w:line="480" w:lineRule="auto"/>
              <w:rPr>
                <w:sz w:val="24"/>
                <w:szCs w:val="24"/>
                <w:lang w:val="en-US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507F6A" w:rsidRPr="00217FD3" w:rsidRDefault="00507F6A" w:rsidP="001036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507F6A" w:rsidRPr="00217FD3" w:rsidRDefault="00507F6A" w:rsidP="001036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507F6A" w:rsidRPr="00217FD3" w:rsidRDefault="00507F6A" w:rsidP="001036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2746D" w:rsidRDefault="00507F6A" w:rsidP="0072746D">
            <w:pPr>
              <w:spacing w:after="0" w:line="480" w:lineRule="auto"/>
              <w:rPr>
                <w:sz w:val="24"/>
                <w:szCs w:val="24"/>
                <w:lang w:val="en-US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Эмоции.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Распознавание и дифференциация эмоций.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Цвет и форма предмета.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Цвет и форма предмета.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07F6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07F6A" w:rsidRDefault="00507F6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07F6A" w:rsidRPr="00217FD3" w:rsidRDefault="00507F6A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07F6A" w:rsidRPr="00784F9B" w:rsidRDefault="00507F6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Временные представления (сутки, день, ночь, утро, вечер).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72746D" w:rsidRPr="0072746D" w:rsidRDefault="0072746D" w:rsidP="0072746D">
            <w:pPr>
              <w:spacing w:after="0" w:line="480" w:lineRule="auto"/>
              <w:rPr>
                <w:sz w:val="24"/>
                <w:szCs w:val="24"/>
                <w:lang w:val="en-US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Временные представления (сутки, день, ночь, утро, вечер).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Временные представления (сутки, день, ночь, утро, вечер).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внимания, памяти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72746D" w:rsidRPr="0072746D" w:rsidRDefault="0072746D" w:rsidP="0072746D">
            <w:pPr>
              <w:spacing w:after="0" w:line="480" w:lineRule="auto"/>
              <w:rPr>
                <w:sz w:val="24"/>
                <w:szCs w:val="24"/>
                <w:lang w:val="en-US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3">
              <w:rPr>
                <w:rFonts w:ascii="Times New Roman" w:hAnsi="Times New Roman" w:cs="Times New Roman"/>
              </w:rPr>
              <w:t>Развитие элементов логического мышления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6D4133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217FD3">
              <w:rPr>
                <w:rFonts w:ascii="Times New Roman" w:eastAsia="Times New Roman" w:hAnsi="Times New Roman" w:cs="Times New Roman"/>
              </w:rPr>
              <w:t>Коррекция, развитие моторной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7FD3">
              <w:rPr>
                <w:rFonts w:ascii="Times New Roman" w:eastAsia="Times New Roman" w:hAnsi="Times New Roman" w:cs="Times New Roman"/>
              </w:rPr>
              <w:t>Коррекция, развитие моторной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B8405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7FD3">
              <w:rPr>
                <w:rFonts w:ascii="Times New Roman" w:eastAsia="Times New Roman" w:hAnsi="Times New Roman" w:cs="Times New Roman"/>
              </w:rPr>
              <w:t>Коррекция, развитие моторной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C77C2" w:rsidRPr="00784F9B" w:rsidTr="00B84054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C77C2" w:rsidRPr="00217FD3" w:rsidRDefault="006D4133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7FD3">
              <w:rPr>
                <w:rFonts w:ascii="Times New Roman" w:eastAsia="Times New Roman" w:hAnsi="Times New Roman" w:cs="Times New Roman"/>
              </w:rPr>
              <w:t>Коррекция, развитие моторной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77C2" w:rsidRDefault="003C77C2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217FD3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C77C2" w:rsidRPr="00784F9B" w:rsidRDefault="003C77C2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3C77C2" w:rsidRDefault="003C77C2" w:rsidP="0072746D">
      <w:pPr>
        <w:spacing w:after="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3C77C2" w:rsidRDefault="003C77C2" w:rsidP="003C77C2">
      <w:pPr>
        <w:spacing w:after="0"/>
        <w:ind w:left="120"/>
        <w:rPr>
          <w:sz w:val="24"/>
          <w:szCs w:val="24"/>
        </w:rPr>
      </w:pPr>
    </w:p>
    <w:p w:rsidR="003C77C2" w:rsidRDefault="003C77C2" w:rsidP="003C77C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C77C2" w:rsidRPr="00E45EE2" w:rsidRDefault="003C77C2" w:rsidP="003C77C2">
      <w:pPr>
        <w:spacing w:after="0"/>
        <w:ind w:left="120"/>
        <w:rPr>
          <w:sz w:val="24"/>
          <w:szCs w:val="24"/>
        </w:rPr>
      </w:pPr>
    </w:p>
    <w:p w:rsidR="003C77C2" w:rsidRDefault="003C77C2" w:rsidP="003C77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2746D" w:rsidRPr="0072746D" w:rsidRDefault="0072746D" w:rsidP="0072746D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>
        <w:rPr>
          <w:rFonts w:ascii="ff4" w:eastAsia="Times New Roman" w:hAnsi="ff4" w:cs="Times New Roman"/>
          <w:color w:val="000000"/>
          <w:sz w:val="24"/>
          <w:szCs w:val="24"/>
        </w:rPr>
        <w:t xml:space="preserve">1. </w:t>
      </w:r>
      <w:r w:rsidRPr="0072746D">
        <w:rPr>
          <w:rFonts w:ascii="ff4" w:eastAsia="Times New Roman" w:hAnsi="ff4" w:cs="Times New Roman"/>
          <w:color w:val="000000"/>
          <w:sz w:val="24"/>
          <w:szCs w:val="24"/>
        </w:rPr>
        <w:t>Сборник коррекционно</w:t>
      </w:r>
      <w:r w:rsidRPr="0072746D">
        <w:rPr>
          <w:rFonts w:ascii="ff1" w:eastAsia="Times New Roman" w:hAnsi="ff1" w:cs="Times New Roman"/>
          <w:color w:val="000000"/>
          <w:sz w:val="24"/>
          <w:szCs w:val="24"/>
        </w:rPr>
        <w:t>-</w:t>
      </w:r>
      <w:r w:rsidRPr="0072746D">
        <w:rPr>
          <w:rFonts w:ascii="ff4" w:eastAsia="Times New Roman" w:hAnsi="ff4" w:cs="Times New Roman"/>
          <w:color w:val="000000"/>
          <w:sz w:val="24"/>
          <w:szCs w:val="24"/>
        </w:rPr>
        <w:t xml:space="preserve">развивающих занятий для учащихся </w:t>
      </w:r>
      <w:r w:rsidRPr="0072746D">
        <w:rPr>
          <w:rFonts w:ascii="ff1" w:eastAsia="Times New Roman" w:hAnsi="ff1" w:cs="Times New Roman"/>
          <w:color w:val="000000"/>
          <w:sz w:val="24"/>
          <w:szCs w:val="24"/>
        </w:rPr>
        <w:t>1-</w:t>
      </w:r>
      <w:r w:rsidRPr="0072746D">
        <w:rPr>
          <w:rFonts w:ascii="ff4" w:eastAsia="Times New Roman" w:hAnsi="ff4" w:cs="Times New Roman"/>
          <w:color w:val="000000"/>
          <w:sz w:val="24"/>
          <w:szCs w:val="24"/>
        </w:rPr>
        <w:t>2 класса</w:t>
      </w:r>
      <w:r w:rsidRPr="0072746D">
        <w:rPr>
          <w:rFonts w:ascii="ff1" w:eastAsia="Times New Roman" w:hAnsi="ff1" w:cs="Times New Roman"/>
          <w:color w:val="000000"/>
          <w:sz w:val="24"/>
          <w:szCs w:val="24"/>
        </w:rPr>
        <w:t xml:space="preserve"> </w:t>
      </w:r>
    </w:p>
    <w:p w:rsidR="0072746D" w:rsidRPr="0072746D" w:rsidRDefault="0072746D" w:rsidP="0072746D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4"/>
          <w:szCs w:val="24"/>
        </w:rPr>
      </w:pPr>
      <w:r w:rsidRPr="0072746D">
        <w:rPr>
          <w:rFonts w:ascii="ff4" w:eastAsia="Times New Roman" w:hAnsi="ff4" w:cs="Times New Roman"/>
          <w:color w:val="000000"/>
          <w:sz w:val="24"/>
          <w:szCs w:val="24"/>
        </w:rPr>
        <w:t>Глазунов Д.А. изд. Глобус 2010г.</w:t>
      </w:r>
    </w:p>
    <w:p w:rsidR="0072746D" w:rsidRPr="0072746D" w:rsidRDefault="0072746D" w:rsidP="0072746D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</w:rPr>
      </w:pPr>
      <w:r>
        <w:rPr>
          <w:rFonts w:ascii="ff4" w:eastAsia="Times New Roman" w:hAnsi="ff4" w:cs="Times New Roman"/>
          <w:color w:val="000000"/>
          <w:sz w:val="24"/>
          <w:szCs w:val="24"/>
        </w:rPr>
        <w:t xml:space="preserve">2. </w:t>
      </w:r>
      <w:r w:rsidRPr="0072746D">
        <w:rPr>
          <w:rFonts w:ascii="ff4" w:eastAsia="Times New Roman" w:hAnsi="ff4" w:cs="Times New Roman"/>
          <w:color w:val="000000"/>
          <w:sz w:val="24"/>
          <w:szCs w:val="24"/>
        </w:rPr>
        <w:t>Учебный  и  раздаточный  материал  для  занятий:  приложение  к  книге  «</w:t>
      </w:r>
      <w:proofErr w:type="gramStart"/>
      <w:r w:rsidRPr="0072746D">
        <w:rPr>
          <w:rFonts w:ascii="ff4" w:eastAsia="Times New Roman" w:hAnsi="ff4" w:cs="Times New Roman"/>
          <w:color w:val="000000"/>
          <w:sz w:val="24"/>
          <w:szCs w:val="24"/>
        </w:rPr>
        <w:t>Развивающие</w:t>
      </w:r>
      <w:proofErr w:type="gramEnd"/>
      <w:r w:rsidRPr="0072746D">
        <w:rPr>
          <w:rFonts w:ascii="ff4" w:eastAsia="Times New Roman" w:hAnsi="ff4" w:cs="Times New Roman"/>
          <w:color w:val="000000"/>
          <w:sz w:val="24"/>
          <w:szCs w:val="24"/>
        </w:rPr>
        <w:t xml:space="preserve"> </w:t>
      </w:r>
    </w:p>
    <w:p w:rsidR="0072746D" w:rsidRPr="0072746D" w:rsidRDefault="0072746D" w:rsidP="0072746D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72"/>
          <w:szCs w:val="72"/>
        </w:rPr>
      </w:pPr>
      <w:r w:rsidRPr="0072746D">
        <w:rPr>
          <w:rFonts w:ascii="ff4" w:eastAsia="Times New Roman" w:hAnsi="ff4" w:cs="Times New Roman"/>
          <w:color w:val="000000"/>
          <w:sz w:val="24"/>
          <w:szCs w:val="24"/>
        </w:rPr>
        <w:t>занятия: 1 класс» Д.А. Глазунов.</w:t>
      </w:r>
      <w:r w:rsidRPr="0072746D">
        <w:rPr>
          <w:rFonts w:ascii="ff4" w:eastAsia="Times New Roman" w:hAnsi="ff4" w:cs="Times New Roman"/>
          <w:color w:val="000000"/>
          <w:sz w:val="72"/>
          <w:szCs w:val="72"/>
        </w:rPr>
        <w:t xml:space="preserve"> </w:t>
      </w:r>
    </w:p>
    <w:p w:rsidR="003C77C2" w:rsidRDefault="003C77C2" w:rsidP="0072746D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2746D" w:rsidRPr="0072746D" w:rsidRDefault="0072746D" w:rsidP="0072746D">
      <w:pPr>
        <w:spacing w:after="0" w:line="480" w:lineRule="auto"/>
        <w:rPr>
          <w:sz w:val="24"/>
          <w:szCs w:val="24"/>
          <w:lang w:val="en-US"/>
        </w:rPr>
      </w:pPr>
      <w:r w:rsidRPr="0072746D">
        <w:rPr>
          <w:sz w:val="24"/>
          <w:szCs w:val="24"/>
          <w:lang w:val="en-US"/>
        </w:rPr>
        <w:t>https://infourok.ru</w:t>
      </w:r>
    </w:p>
    <w:p w:rsidR="003C77C2" w:rsidRPr="00E60AD0" w:rsidRDefault="003C77C2" w:rsidP="003C77C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lastRenderedPageBreak/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980234" w:rsidRDefault="00980234"/>
    <w:sectPr w:rsidR="00980234" w:rsidSect="000E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A7C"/>
    <w:rsid w:val="000E345D"/>
    <w:rsid w:val="00217FD3"/>
    <w:rsid w:val="003C77C2"/>
    <w:rsid w:val="00507F6A"/>
    <w:rsid w:val="006D4133"/>
    <w:rsid w:val="0072746D"/>
    <w:rsid w:val="00830226"/>
    <w:rsid w:val="008851E1"/>
    <w:rsid w:val="00980234"/>
    <w:rsid w:val="009F534B"/>
    <w:rsid w:val="00BE31E5"/>
    <w:rsid w:val="00FD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f4">
    <w:name w:val="ff4"/>
    <w:basedOn w:val="a0"/>
    <w:rsid w:val="0072746D"/>
  </w:style>
  <w:style w:type="character" w:customStyle="1" w:styleId="a3">
    <w:name w:val="_"/>
    <w:basedOn w:val="a0"/>
    <w:rsid w:val="00727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9307&amp;date=24.08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8</cp:revision>
  <dcterms:created xsi:type="dcterms:W3CDTF">2023-12-15T12:27:00Z</dcterms:created>
  <dcterms:modified xsi:type="dcterms:W3CDTF">2023-12-20T12:48:00Z</dcterms:modified>
</cp:coreProperties>
</file>